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bidi w:val="0"/>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34"/>
          <w:szCs w:val="34"/>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noFill/>
          </w14:textOutline>
          <w14:textFill>
            <w14:solidFill>
              <w14:srgbClr w14:val="000000"/>
            </w14:solidFill>
          </w14:textFill>
        </w:rPr>
        <w:t>INFORMATION PACKAGE FOR DOCTORAL STUDENTS OF THE JU DOCTORAL SCHOOL IN THE HUMANITIES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 Basic information</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Doctoral students are bound by the Regulations of the Doctoral School in the Humanities:https://human.phd.uj.edu.pl/documents/142297268/142652685/DSH_regulations.pdf/3715f970-11e9-45ef-a183-baf3e1d36992</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School address: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ul. Czapskich 4, room 310</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31-110 Krako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sdnh@uj.edu.pl (mailbox used by the School's Administrative Office)</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School Director:</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Dr hab. Sebastian Tomasz Ko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odziejczyk, prof. UJ</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"mailto:human@uj.edu.pl"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human@uj.edu.pl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Heads of Doctoral Programmes: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Archeology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Marcin Przyby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 prof. UJ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"mailto:archeology.phd@uj.edu.pl"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archeology.phd@uj.edu.pl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Philosophy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Micha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Bohun, prof. UJ (email: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"mailto:philosophy.phd@uj.edu.pl"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philosophy.phd@uj.edu.pl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History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Wojciech Mruk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"mailto:history.phd@uj.edu.pl"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history.phd@uj.edu.pl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Linguistics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Maria Jod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owiec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"mailto:linguistics.phd@uj.edu.pl"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linguistics.phd@uj.edu.pl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Literary Studies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Jerzy Franczak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"mailto:literary.phd@uj.edu.pl"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literary.phd@uj.edu.pl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Studies on Cultures and Religions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dr hab. Cezary Galewicz, prof. UJ (email: culture- religion.phd@uj.edu.pl) </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Studies on Arts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Anna Nacher, prof. UJ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"mailto:arts.phd@uj.edu.pl"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arts.phd@uj.edu.pl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Interdisciplinary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dr hab. Sebastian T. Ko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odziejczyk, prof. UJ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"mailto:interdisciplinary.phd@uj.edu.pl"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interdisciplinary.phd@uj.edu.pl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School Administrative Staff:</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Inz</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Anna Krupa</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Mgr Julia Matoga</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sdnh@uj.edu.pl </w:t>
      </w:r>
    </w:p>
    <w:p>
      <w:pPr>
        <w:keepNext w:val="0"/>
        <w:keepLines w:val="0"/>
        <w:pageBreakBefore w:val="0"/>
        <w:widowControl w:val="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tl w:val="0"/>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br w:type="page"/>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PhD Students Affairs: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Mgr Wioletta Pugacewicz</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Mgr Monika Nowicka</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ul. Czapskich 4, room 14 </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Jagiellonian University PhD Students' Association</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ul. Czapskich 4, room 14</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https://doktoranci.uj.edu.pl/en_GB/start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II. Scholarships, other rights, and removals from student roster</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 Regulation No. 73 of the Rector of the Jagiellonian University on the payment and return of doctoral scholarship of 30 September 2019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"https://bip.uj.edu.pl/documents/1384597/143315552/zarz_73_2019.pdf/b4bc0ced-d8c6-4990-9c60-46e2beb61de6"</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https://bip.uj.edu.pl/documents/1384597/143315552/zarz_73_2019.pdf/b4bc0ced-d8c6-4990-9c60-46e2beb61de6</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 In the academic year 2019/2020, ONLY statutory scholarships are valid. The Law on Higher Education and Science of 20 July 2018 specifies the amount of the scholarship in relation to professor's salary: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37% before mid-term evaluation and 57% after mid-term evaluation.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Professor's salary (the rate under the order of the Minister of Science and Higher Education: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"http://isap.sejm.gov.pl/isap.nsf/download.xsp/WDU20180001838/O/D20181838.pdf"</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http://isap.sejm.gov.pl/isap.nsf/download.xsp/WDU20180001838/O/D20181838.pdf</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amounts to: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PLN 6,410.00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final amount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PLN 2,371.70</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 the gross amount. Social insurance contributions are added to it.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 Scholarships shall be paid by the 10th of each month.</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4. The statutory scholarship is not granted to: 1. Doctors and 2. Persons whose scholarship is refinanced from other sources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5. Doctoral students with disabilities are entitled, in accordance with statutory provisions, to a 30% increase of the scholarship rate paid before the mid-term evaluation.</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6. Doctoral students are entitled to apply for student loans. Contact regarding this matter: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"mailto:stypendia@uj.edu.pl"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stypendia@uj.edu.pl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7. Removal from the School's doctoral student roster. Article 203 of the Law specifies the criteria for removal from the student roster. These include:A. Negative result of the mid-term evaluation, B. Failure to submit a doctoral dissertation within the deadline specified in the individual research plan, C. Resignation from further education, D. Unsatisfactory progress in the preparation of the doctoral dissertation, E. Failure to comply with the obligations imposed by the School Regulations.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III.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PhD Students</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Affairs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ffffff"/>
        <w:suppressAutoHyphens w:val="0"/>
        <w:bidi w:val="0"/>
        <w:spacing w:before="60" w:after="60" w:line="240" w:lineRule="auto"/>
        <w:ind w:right="0"/>
        <w:jc w:val="left"/>
        <w:outlineLvl w:val="9"/>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Accommodation: The Jagiellonian University PhD Students' Association can accomodate students at the PhD Student's House (ul. Bydgoska 19B). The application must be lodged via the USOS system. To lodge the application, log in to your account at </w:t>
      </w:r>
      <w:r>
        <w:rPr>
          <w:rFonts w:ascii="Times New Roman" w:cs="Arial Unicode MS" w:hAnsi="Times New Roman" w:eastAsia="Arial Unicode MS"/>
          <w:b w:val="0"/>
          <w:bCs w:val="0"/>
          <w:i w:val="0"/>
          <w:iCs w:val="0"/>
          <w:caps w:val="0"/>
          <w:smallCaps w:val="0"/>
          <w:strike w:val="0"/>
          <w:dstrike w:val="0"/>
          <w:outline w:val="0"/>
          <w:color w:val="0000ed"/>
          <w:spacing w:val="0"/>
          <w:kern w:val="0"/>
          <w:position w:val="0"/>
          <w:sz w:val="24"/>
          <w:szCs w:val="24"/>
          <w:u w:val="none" w:color="0000ed"/>
          <w:shd w:val="nil" w:color="auto" w:fill="auto"/>
          <w:vertAlign w:val="baseline"/>
          <w:rtl w:val="0"/>
          <w:lang w:val="en-US"/>
          <w14:textOutline>
            <w14:noFill/>
          </w14:textOutline>
          <w14:textFill>
            <w14:solidFill>
              <w14:srgbClr w14:val="0000ED"/>
            </w14:solidFill>
          </w14:textFill>
        </w:rPr>
        <w:t>www.usosweb.uj.edu.pl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select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Common Section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tab, and then select the appropriate application. If doctoral students have any issues with submitting the application, or if they have any questions about the accommodation at the PhD Student's House, they should contact Mr Pawe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Winiarski at kpm-doktoranci@uj.edu.pl, tel. 506006086, or e-mail us at our general address: </w:t>
      </w:r>
      <w:r>
        <w:rPr>
          <w:rStyle w:val="Łącze"/>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noFill/>
          </w14:textOutline>
          <w14:textFill>
            <w14:solidFill>
              <w14:srgbClr w14:val="000000"/>
            </w14:solidFill>
          </w14:textFill>
        </w:rPr>
        <w:fldChar w:fldCharType="begin" w:fldLock="0"/>
      </w:r>
      <w:r>
        <w:rPr>
          <w:rStyle w:val="Łącze"/>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noFill/>
          </w14:textOutline>
          <w14:textFill>
            <w14:solidFill>
              <w14:srgbClr w14:val="000000"/>
            </w14:solidFill>
          </w14:textFill>
        </w:rPr>
        <w:instrText xml:space="preserve"> HYPERLINK "mailto:doktoranci@uj.edu.pl"</w:instrText>
      </w:r>
      <w:r>
        <w:rPr>
          <w:rStyle w:val="Łącze"/>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noFill/>
          </w14:textOutline>
          <w14:textFill>
            <w14:solidFill>
              <w14:srgbClr w14:val="000000"/>
            </w14:solidFill>
          </w14:textFill>
        </w:rPr>
        <w:fldChar w:fldCharType="separate" w:fldLock="0"/>
      </w:r>
      <w:r>
        <w:rPr>
          <w:rStyle w:val="Łącze"/>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noFill/>
          </w14:textOutline>
          <w14:textFill>
            <w14:solidFill>
              <w14:srgbClr w14:val="000000"/>
            </w14:solidFill>
          </w14:textFill>
        </w:rPr>
        <w:t>doktoranci@uj.edu.pl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numPr>
          <w:ilvl w:val="0"/>
          <w:numId w:val="2"/>
        </w:numPr>
        <w:shd w:val="clear" w:color="auto" w:fill="ffffff"/>
        <w:suppressAutoHyphens w:val="0"/>
        <w:bidi w:val="0"/>
        <w:spacing w:before="60" w:after="60" w:line="240" w:lineRule="auto"/>
        <w:ind w:right="0"/>
        <w:jc w:val="left"/>
        <w:outlineLvl w:val="9"/>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Multisport Card. Doctoral students may purchase the Multisport Plus card through the SDNH UJ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PhD Students Common Room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For details, contact the 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ommon Room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Board. </w:t>
      </w:r>
    </w:p>
    <w:p>
      <w:pPr>
        <w:keepNext w:val="0"/>
        <w:keepLines w:val="0"/>
        <w:pageBreakBefore w:val="0"/>
        <w:widowControl w:val="1"/>
        <w:numPr>
          <w:ilvl w:val="0"/>
          <w:numId w:val="2"/>
        </w:numPr>
        <w:shd w:val="clear" w:color="auto" w:fill="ffffff"/>
        <w:suppressAutoHyphens w:val="0"/>
        <w:bidi w:val="0"/>
        <w:spacing w:before="60" w:after="60" w:line="240" w:lineRule="auto"/>
        <w:ind w:right="0"/>
        <w:jc w:val="left"/>
        <w:outlineLvl w:val="9"/>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1e1e1e"/>
          <w:spacing w:val="0"/>
          <w:kern w:val="0"/>
          <w:position w:val="0"/>
          <w:sz w:val="24"/>
          <w:szCs w:val="24"/>
          <w:u w:val="none" w:color="1e1e1e"/>
          <w:shd w:val="nil" w:color="auto" w:fill="auto"/>
          <w:vertAlign w:val="baseline"/>
          <w:rtl w:val="0"/>
          <w:lang w:val="en-US"/>
          <w14:textOutline>
            <w14:noFill/>
          </w14:textOutline>
          <w14:textFill>
            <w14:solidFill>
              <w14:srgbClr w14:val="1E1E1E"/>
            </w14:solidFill>
          </w14:textFill>
        </w:rPr>
        <w:t>Doctoral students may use the sports facilities of the Jagiellonian University on the terms specified by the JU Physical Education and Sports Centre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"https://swfis.uj.edu.pl/"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https://swfis.uj.edu.pl/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ed"/>
          <w:spacing w:val="0"/>
          <w:kern w:val="0"/>
          <w:position w:val="0"/>
          <w:sz w:val="24"/>
          <w:szCs w:val="24"/>
          <w:u w:val="none" w:color="0000ed"/>
          <w:shd w:val="nil" w:color="auto" w:fill="auto"/>
          <w:vertAlign w:val="baseline"/>
          <w:rtl w:val="0"/>
          <w:lang w:val="en-US"/>
          <w14:textOutline>
            <w14:noFill/>
          </w14:textOutline>
          <w14:textFill>
            <w14:solidFill>
              <w14:srgbClr w14:val="0000ED"/>
            </w14:solidFill>
          </w14:textFill>
        </w:rPr>
        <w:t>)</w:t>
      </w:r>
    </w:p>
    <w:p>
      <w:pPr>
        <w:keepNext w:val="0"/>
        <w:keepLines w:val="0"/>
        <w:pageBreakBefore w:val="0"/>
        <w:widowControl w:val="1"/>
        <w:numPr>
          <w:ilvl w:val="0"/>
          <w:numId w:val="2"/>
        </w:numPr>
        <w:shd w:val="clear" w:color="auto" w:fill="ffffff"/>
        <w:suppressAutoHyphens w:val="0"/>
        <w:bidi w:val="0"/>
        <w:spacing w:before="60" w:after="60" w:line="240" w:lineRule="auto"/>
        <w:ind w:right="0"/>
        <w:jc w:val="left"/>
        <w:outlineLvl w:val="9"/>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Other social affairs: Ms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aneta Ch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ęć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(Office for Student Affairs, </w: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"mailto:zaneta.chec@uj.edu.pl"</w:instrText>
      </w:r>
      <w:r>
        <w:rPr>
          <w:rStyle w:val="Hyperlink.0"/>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zaneta.chec@uj.edu.pl</w:t>
      </w:r>
      <w: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IV. Other matters: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4"/>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Account activation in the @doctoral.uj.edu.pl domain: </w:t>
      </w:r>
      <w:r>
        <w:rPr>
          <w:rStyle w:val="Hyperlink.1"/>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lang w:val="en-US"/>
          <w14:textOutline>
            <w14:noFill/>
          </w14:textOutline>
          <w14:textFill>
            <w14:solidFill>
              <w14:srgbClr w14:val="0563C1"/>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lang w:val="en-US"/>
          <w14:textOutline>
            <w14:noFill/>
          </w14:textOutline>
          <w14:textFill>
            <w14:solidFill>
              <w14:srgbClr w14:val="0563C1"/>
            </w14:solidFill>
          </w14:textFill>
        </w:rPr>
        <w:instrText xml:space="preserve"> HYPERLINK "https://pomocit.uj.edu.pl/poczta"</w:instrText>
      </w:r>
      <w:r>
        <w:rPr>
          <w:rStyle w:val="Hyperlink.1"/>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lang w:val="en-US"/>
          <w14:textOutline>
            <w14:noFill/>
          </w14:textOutline>
          <w14:textFill>
            <w14:solidFill>
              <w14:srgbClr w14:val="0563C1"/>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https://pomocit.uj.edu.pl/poczta</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 students and doctoral students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numPr>
          <w:ilvl w:val="0"/>
          <w:numId w:val="4"/>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SDNH UJ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Common Room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(club president and board)/Jagiellonian Doctoral School in the Humanitites Common Room (ul.Czapskich 4, room 310b). 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ommon Room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President and Board elections.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Common Room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Regulations. 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ommon Room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equipment. </w:t>
      </w:r>
    </w:p>
    <w:p>
      <w:pPr>
        <w:keepNext w:val="0"/>
        <w:keepLines w:val="0"/>
        <w:pageBreakBefore w:val="0"/>
        <w:widowControl w:val="1"/>
        <w:numPr>
          <w:ilvl w:val="0"/>
          <w:numId w:val="4"/>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Participation in language courses: Jagiellonian Language Center. </w:t>
      </w:r>
    </w:p>
    <w:p>
      <w:pPr>
        <w:keepNext w:val="0"/>
        <w:keepLines w:val="0"/>
        <w:pageBreakBefore w:val="0"/>
        <w:widowControl w:val="1"/>
        <w:numPr>
          <w:ilvl w:val="0"/>
          <w:numId w:val="4"/>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Using library facilities: Jagiellonian Library</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 Organisational and scientific matters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6"/>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Registration for classes in USOS (by Sunday, 27 September 2020, 12.00 AM). </w:t>
      </w:r>
    </w:p>
    <w:p>
      <w:pPr>
        <w:keepNext w:val="0"/>
        <w:keepLines w:val="0"/>
        <w:pageBreakBefore w:val="0"/>
        <w:widowControl w:val="1"/>
        <w:numPr>
          <w:ilvl w:val="0"/>
          <w:numId w:val="6"/>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Regarding the implementation of the education programmes and participation in the doctoral program, Regulation No. 54 of the Rector of the Jagiellonian University on the establishment of doctoral programs of 2 June 2020 applies: </w:t>
      </w:r>
      <w:r>
        <w:rPr>
          <w:rStyle w:val="Hyperlink.1"/>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lang w:val="en-US"/>
          <w14:textOutline>
            <w14:noFill/>
          </w14:textOutline>
          <w14:textFill>
            <w14:solidFill>
              <w14:srgbClr w14:val="0563C1"/>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lang w:val="en-US"/>
          <w14:textOutline>
            <w14:noFill/>
          </w14:textOutline>
          <w14:textFill>
            <w14:solidFill>
              <w14:srgbClr w14:val="0563C1"/>
            </w14:solidFill>
          </w14:textFill>
        </w:rPr>
        <w:instrText xml:space="preserve"> HYPERLINK "https://bip.uj.edu.pl/dokumenty/zarzadzenia-rektora?p_p_id=56_INSTANCE_Ca5y&amp;p_p_lifecycle=0&amp;p_p_state=normal&amp;p_p_mode=view&amp;p_p_col_id=column-3&amp;p_p_col_count=1&amp;groupId=1384597&amp;articleId=145417882&amp;widok=ogloszenie"</w:instrText>
      </w:r>
      <w:r>
        <w:rPr>
          <w:rStyle w:val="Hyperlink.1"/>
          <w:rFonts w:ascii="Times New Roman" w:cs="Times New Roman" w:hAnsi="Times New Roman" w:eastAsia="Times New Roman"/>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lang w:val="en-US"/>
          <w14:textOutline>
            <w14:noFill/>
          </w14:textOutline>
          <w14:textFill>
            <w14:solidFill>
              <w14:srgbClr w14:val="0563C1"/>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https://bip.uj.edu.pl/dokumenty/zarzadzenia-rektora?p_p_id=56_INSTANCE_Ca5y&amp;p_p_lifecycle=0&amp;p_p_state=normal&amp;p_p_mode=view&amp;p_p_col_id=column-3&amp;p_p_col_count=1&amp;groupId=1384597&amp;articleId=145417882&amp;widok=ogloszenie</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72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MILESTONES</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60" w:after="6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7"/>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Pursuant to the Law, each doctoral student must apply for the appointment of a supervisor no later than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 months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from the beginning of education (as per the date of enrollment to the School). The arrangements for the procedure are ongoing and will be known by the end of October at the latest. </w:t>
      </w:r>
    </w:p>
    <w:p>
      <w:pPr>
        <w:keepNext w:val="0"/>
        <w:keepLines w:val="0"/>
        <w:pageBreakBefore w:val="0"/>
        <w:widowControl w:val="1"/>
        <w:numPr>
          <w:ilvl w:val="0"/>
          <w:numId w:val="7"/>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Appointment of the Doctoral Committee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no later than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6 months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from the beginning of education at the School. Committee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scientific support for PhD students. </w:t>
      </w:r>
    </w:p>
    <w:p>
      <w:pPr>
        <w:keepNext w:val="0"/>
        <w:keepLines w:val="0"/>
        <w:pageBreakBefore w:val="0"/>
        <w:widowControl w:val="1"/>
        <w:numPr>
          <w:ilvl w:val="0"/>
          <w:numId w:val="7"/>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Preparation of an INDIVIDUAL RESEARCH PLAN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by the end of the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12</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th</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month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from the beginning of education at the School (i.e. the day of enrollment). The IRP template will be made available by the end of October. </w:t>
      </w:r>
    </w:p>
    <w:p>
      <w:pPr>
        <w:keepNext w:val="0"/>
        <w:keepLines w:val="0"/>
        <w:pageBreakBefore w:val="0"/>
        <w:widowControl w:val="1"/>
        <w:numPr>
          <w:ilvl w:val="0"/>
          <w:numId w:val="7"/>
        </w:numPr>
        <w:shd w:val="clear" w:color="auto" w:fill="ffffff"/>
        <w:suppressAutoHyphens w:val="0"/>
        <w:bidi w:val="0"/>
        <w:spacing w:before="60" w:after="6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Mid-term evaluation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after the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24</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th</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month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of education at the School.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enter" w:pos="4819"/>
        <w:tab w:val="right" w:pos="9638"/>
        <w:tab w:val="clear" w:pos="9020"/>
      </w:tabs>
      <w:jc w:val="left"/>
    </w:pPr>
    <w:r>
      <w:tab/>
    </w:r>
    <w:r>
      <w:drawing xmlns:a="http://schemas.openxmlformats.org/drawingml/2006/main">
        <wp:inline distT="0" distB="0" distL="0" distR="0">
          <wp:extent cx="6116321" cy="929574"/>
          <wp:effectExtent l="0" t="0" r="0" b="0"/>
          <wp:docPr id="1073741825" name="officeArt object" descr="Pasek-papier-firmowy.png"/>
          <wp:cNvGraphicFramePr/>
          <a:graphic xmlns:a="http://schemas.openxmlformats.org/drawingml/2006/main">
            <a:graphicData uri="http://schemas.openxmlformats.org/drawingml/2006/picture">
              <pic:pic xmlns:pic="http://schemas.openxmlformats.org/drawingml/2006/picture">
                <pic:nvPicPr>
                  <pic:cNvPr id="1073741825" name="Pasek-papier-firmowy.png" descr="Pasek-papier-firmowy.png"/>
                  <pic:cNvPicPr>
                    <a:picLocks noChangeAspect="1"/>
                  </pic:cNvPicPr>
                </pic:nvPicPr>
                <pic:blipFill>
                  <a:blip r:embed="rId1">
                    <a:extLst/>
                  </a:blip>
                  <a:stretch>
                    <a:fillRect/>
                  </a:stretch>
                </pic:blipFill>
                <pic:spPr>
                  <a:xfrm>
                    <a:off x="0" y="0"/>
                    <a:ext cx="6116321" cy="92957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y"/>
  </w:abstractNum>
  <w:abstractNum w:abstractNumId="1">
    <w:multiLevelType w:val="hybridMultilevel"/>
    <w:styleLink w:val="Numery"/>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1"/>
  </w:abstractNum>
  <w:abstractNum w:abstractNumId="3">
    <w:multiLevelType w:val="hybridMultilevel"/>
    <w:styleLink w:val="Zaimportowany styl 1"/>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Zaimportowany styl 2"/>
  </w:abstractNum>
  <w:abstractNum w:abstractNumId="5">
    <w:multiLevelType w:val="hybridMultilevel"/>
    <w:styleLink w:val="Zaimportowany styl 2"/>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Łącze">
    <w:name w:val="Łącze"/>
    <w:rPr>
      <w:u w:val="single"/>
    </w:rPr>
  </w:style>
  <w:style w:type="character" w:styleId="Hyperlink.0">
    <w:name w:val="Hyperlink.0"/>
    <w:basedOn w:val="Łącze"/>
    <w:next w:val="Hyperlink.0"/>
    <w:rPr>
      <w:rFonts w:ascii="Times New Roman" w:cs="Times New Roman" w:hAnsi="Times New Roman" w:eastAsia="Times New Roman"/>
      <w:outline w:val="0"/>
      <w:color w:val="0563c1"/>
      <w:u w:color="0563c1"/>
      <w:lang w:val="en-US"/>
      <w14:textFill>
        <w14:solidFill>
          <w14:srgbClr w14:val="0563C1"/>
        </w14:solidFill>
      </w14:textFill>
    </w:rPr>
  </w:style>
  <w:style w:type="numbering" w:styleId="Numery">
    <w:name w:val="Numery"/>
    <w:pPr>
      <w:numPr>
        <w:numId w:val="1"/>
      </w:numPr>
    </w:pPr>
  </w:style>
  <w:style w:type="numbering" w:styleId="Zaimportowany styl 1">
    <w:name w:val="Zaimportowany styl 1"/>
    <w:pPr>
      <w:numPr>
        <w:numId w:val="3"/>
      </w:numPr>
    </w:pPr>
  </w:style>
  <w:style w:type="character" w:styleId="Hyperlink.1">
    <w:name w:val="Hyperlink.1"/>
    <w:basedOn w:val="Łącze"/>
    <w:next w:val="Hyperlink.1"/>
    <w:rPr>
      <w:outline w:val="0"/>
      <w:color w:val="0563c1"/>
      <w:u w:color="0563c1"/>
      <w:lang w:val="en-US"/>
      <w14:textFill>
        <w14:solidFill>
          <w14:srgbClr w14:val="0563C1"/>
        </w14:solidFill>
      </w14:textFill>
    </w:rPr>
  </w:style>
  <w:style w:type="numbering" w:styleId="Zaimportowany styl 2">
    <w:name w:val="Zaimportowany styl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