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B1B5" w14:textId="0C1B359D" w:rsidR="006F047E" w:rsidRPr="002F14F4" w:rsidRDefault="002F14F4" w:rsidP="002F14F4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Horn and Other </w:t>
      </w:r>
      <w:r w:rsidR="006A34B5" w:rsidRPr="002F14F4">
        <w:rPr>
          <w:rFonts w:ascii="Times New Roman" w:hAnsi="Times New Roman" w:cs="Times New Roman"/>
          <w:b/>
        </w:rPr>
        <w:t xml:space="preserve">Scales </w:t>
      </w:r>
      <w:r w:rsidR="005040B5">
        <w:rPr>
          <w:rFonts w:ascii="Times New Roman" w:hAnsi="Times New Roman" w:cs="Times New Roman"/>
          <w:b/>
        </w:rPr>
        <w:t xml:space="preserve">and Scalar Implicature </w:t>
      </w:r>
      <w:r w:rsidR="006A34B5" w:rsidRPr="002F14F4">
        <w:rPr>
          <w:rFonts w:ascii="Times New Roman" w:hAnsi="Times New Roman" w:cs="Times New Roman"/>
          <w:b/>
        </w:rPr>
        <w:t>in Neo-Gricean Pragmatics</w:t>
      </w:r>
    </w:p>
    <w:p w14:paraId="05524F5D" w14:textId="77777777" w:rsidR="006A34B5" w:rsidRPr="002F14F4" w:rsidRDefault="006A34B5" w:rsidP="002F14F4">
      <w:pPr>
        <w:spacing w:line="480" w:lineRule="auto"/>
        <w:jc w:val="center"/>
        <w:rPr>
          <w:rFonts w:ascii="Times New Roman" w:hAnsi="Times New Roman" w:cs="Times New Roman"/>
        </w:rPr>
      </w:pPr>
      <w:r w:rsidRPr="002F14F4">
        <w:rPr>
          <w:rFonts w:ascii="Times New Roman" w:hAnsi="Times New Roman" w:cs="Times New Roman"/>
        </w:rPr>
        <w:t>Yan Huang</w:t>
      </w:r>
    </w:p>
    <w:p w14:paraId="41BB57C2" w14:textId="77777777" w:rsidR="00076C53" w:rsidRDefault="00076C53" w:rsidP="002F14F4">
      <w:pPr>
        <w:spacing w:line="480" w:lineRule="auto"/>
        <w:jc w:val="center"/>
        <w:rPr>
          <w:rFonts w:ascii="Times New Roman" w:hAnsi="Times New Roman" w:cs="Times New Roman"/>
        </w:rPr>
      </w:pPr>
      <w:r w:rsidRPr="002F14F4">
        <w:rPr>
          <w:rFonts w:ascii="Times New Roman" w:hAnsi="Times New Roman" w:cs="Times New Roman"/>
        </w:rPr>
        <w:t>University of Auckland</w:t>
      </w:r>
    </w:p>
    <w:p w14:paraId="4B22976D" w14:textId="77777777" w:rsidR="00AD7EB7" w:rsidRPr="002F14F4" w:rsidRDefault="00AD7EB7" w:rsidP="002F14F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yan.huang@auckland.ac.nz</w:t>
      </w:r>
    </w:p>
    <w:p w14:paraId="0918044C" w14:textId="77777777" w:rsidR="007A1099" w:rsidRDefault="007A1099" w:rsidP="00FB12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99">
        <w:rPr>
          <w:rFonts w:ascii="Times New Roman" w:hAnsi="Times New Roman" w:cs="Times New Roman"/>
          <w:sz w:val="24"/>
          <w:szCs w:val="24"/>
        </w:rPr>
        <w:t xml:space="preserve">A scale is a set of linguistic expressions that can be taken as natural alternatives to each other and can be arranged in an ordinal relationship in terms of logical or informational strength. </w:t>
      </w:r>
      <w:r w:rsidR="006A34B5" w:rsidRPr="007A1099">
        <w:rPr>
          <w:rFonts w:ascii="Times New Roman" w:hAnsi="Times New Roman" w:cs="Times New Roman"/>
          <w:sz w:val="24"/>
          <w:szCs w:val="24"/>
        </w:rPr>
        <w:t xml:space="preserve">Scales play a very important role in classical and neo-Gricean pragmatics. </w:t>
      </w:r>
      <w:r w:rsidR="000E4142" w:rsidRPr="007A1099">
        <w:rPr>
          <w:rFonts w:ascii="Times New Roman" w:hAnsi="Times New Roman" w:cs="Times New Roman"/>
          <w:sz w:val="24"/>
          <w:szCs w:val="24"/>
        </w:rPr>
        <w:t xml:space="preserve">They provide a basis for the generation of a variety of conversational implicatures. 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A typical example is scalar implicatures engendered </w:t>
      </w: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a </w:t>
      </w:r>
      <w:r w:rsidR="00076C53" w:rsidRPr="007A1099">
        <w:rPr>
          <w:rFonts w:ascii="Times New Roman" w:hAnsi="Times New Roman" w:cs="Times New Roman"/>
          <w:b/>
          <w:sz w:val="24"/>
          <w:szCs w:val="24"/>
        </w:rPr>
        <w:t>Horn scale</w:t>
      </w:r>
      <w:r w:rsidR="00076C53" w:rsidRPr="007A1099">
        <w:rPr>
          <w:rFonts w:ascii="Times New Roman" w:hAnsi="Times New Roman" w:cs="Times New Roman"/>
          <w:sz w:val="24"/>
          <w:szCs w:val="24"/>
        </w:rPr>
        <w:t>: &lt;some, all&gt;</w:t>
      </w:r>
      <w:r w:rsidR="00FB12F1">
        <w:rPr>
          <w:rFonts w:ascii="Times New Roman" w:hAnsi="Times New Roman" w:cs="Times New Roman"/>
          <w:sz w:val="24"/>
          <w:szCs w:val="24"/>
        </w:rPr>
        <w:t>.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 Other types of scale that can trigger a scalar implicature include </w:t>
      </w:r>
      <w:r w:rsidR="00076C53" w:rsidRPr="007A1099">
        <w:rPr>
          <w:rFonts w:ascii="Times New Roman" w:hAnsi="Times New Roman" w:cs="Times New Roman"/>
          <w:b/>
          <w:sz w:val="24"/>
          <w:szCs w:val="24"/>
        </w:rPr>
        <w:t>rank orders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 &lt;assistant professor, associate professor, full professor&gt; and </w:t>
      </w:r>
      <w:r w:rsidR="00076C53" w:rsidRPr="007A1099">
        <w:rPr>
          <w:rFonts w:ascii="Times New Roman" w:hAnsi="Times New Roman" w:cs="Times New Roman"/>
          <w:b/>
          <w:sz w:val="24"/>
          <w:szCs w:val="24"/>
        </w:rPr>
        <w:t>Hirschberg scales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 &lt;separate, divorce&gt;.  In add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ition, there are also </w:t>
      </w:r>
      <w:r w:rsidR="00076C53" w:rsidRPr="007A1099">
        <w:rPr>
          <w:rFonts w:ascii="Times New Roman" w:hAnsi="Times New Roman" w:cs="Times New Roman"/>
          <w:sz w:val="24"/>
          <w:szCs w:val="24"/>
        </w:rPr>
        <w:t xml:space="preserve">scales that </w:t>
      </w:r>
      <w:r w:rsidR="00925A6F" w:rsidRPr="007A1099">
        <w:rPr>
          <w:rFonts w:ascii="Times New Roman" w:hAnsi="Times New Roman" w:cs="Times New Roman"/>
          <w:sz w:val="24"/>
          <w:szCs w:val="24"/>
        </w:rPr>
        <w:t>generate types of conversational implicatures</w:t>
      </w:r>
      <w:r>
        <w:rPr>
          <w:rFonts w:ascii="Times New Roman" w:hAnsi="Times New Roman" w:cs="Times New Roman"/>
          <w:sz w:val="24"/>
          <w:szCs w:val="24"/>
        </w:rPr>
        <w:t xml:space="preserve"> other than scalar ones</w:t>
      </w:r>
      <w:r w:rsidR="00925A6F" w:rsidRPr="007A1099">
        <w:rPr>
          <w:rFonts w:ascii="Times New Roman" w:hAnsi="Times New Roman" w:cs="Times New Roman"/>
          <w:sz w:val="24"/>
          <w:szCs w:val="24"/>
        </w:rPr>
        <w:t>.</w:t>
      </w:r>
      <w:r w:rsidR="00BE19D8" w:rsidRPr="007A1099">
        <w:rPr>
          <w:rFonts w:ascii="Times New Roman" w:hAnsi="Times New Roman" w:cs="Times New Roman"/>
          <w:sz w:val="24"/>
          <w:szCs w:val="24"/>
        </w:rPr>
        <w:t xml:space="preserve"> For example, what I call </w:t>
      </w:r>
      <w:r w:rsidR="00076C53" w:rsidRPr="007A1099">
        <w:rPr>
          <w:rFonts w:ascii="Times New Roman" w:hAnsi="Times New Roman" w:cs="Times New Roman"/>
          <w:b/>
          <w:sz w:val="24"/>
          <w:szCs w:val="24"/>
        </w:rPr>
        <w:t>Atlas-Levinson scales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 like &lt;if, if and only if&gt;, which induce an I-implicature, and what I </w:t>
      </w:r>
      <w:r w:rsidR="00FB12F1">
        <w:rPr>
          <w:rFonts w:ascii="Times New Roman" w:hAnsi="Times New Roman" w:cs="Times New Roman"/>
          <w:sz w:val="24"/>
          <w:szCs w:val="24"/>
        </w:rPr>
        <w:t>term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 </w:t>
      </w:r>
      <w:r w:rsidR="00925A6F" w:rsidRPr="007A1099">
        <w:rPr>
          <w:rFonts w:ascii="Times New Roman" w:hAnsi="Times New Roman" w:cs="Times New Roman"/>
          <w:b/>
          <w:sz w:val="24"/>
          <w:szCs w:val="24"/>
        </w:rPr>
        <w:t>McCawley-Levinson scales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 like &lt;</w:t>
      </w:r>
      <w:r w:rsidRPr="007A1099">
        <w:rPr>
          <w:rFonts w:ascii="Times New Roman" w:hAnsi="Times New Roman" w:cs="Times New Roman"/>
          <w:sz w:val="24"/>
          <w:szCs w:val="24"/>
        </w:rPr>
        <w:t xml:space="preserve"> stop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1099">
        <w:rPr>
          <w:rFonts w:ascii="Times New Roman" w:hAnsi="Times New Roman" w:cs="Times New Roman"/>
          <w:sz w:val="24"/>
          <w:szCs w:val="24"/>
        </w:rPr>
        <w:t xml:space="preserve"> 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cause … to stop &gt;, which </w:t>
      </w:r>
      <w:r>
        <w:rPr>
          <w:rFonts w:ascii="Times New Roman" w:hAnsi="Times New Roman" w:cs="Times New Roman"/>
          <w:sz w:val="24"/>
          <w:szCs w:val="24"/>
        </w:rPr>
        <w:t>license</w:t>
      </w:r>
      <w:r w:rsidR="00925A6F" w:rsidRPr="007A1099">
        <w:rPr>
          <w:rFonts w:ascii="Times New Roman" w:hAnsi="Times New Roman" w:cs="Times New Roman"/>
          <w:sz w:val="24"/>
          <w:szCs w:val="24"/>
        </w:rPr>
        <w:t xml:space="preserve"> an M-implicature. </w:t>
      </w:r>
    </w:p>
    <w:p w14:paraId="796986F6" w14:textId="77777777" w:rsidR="007A1099" w:rsidRDefault="007A1099" w:rsidP="00AD7E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99">
        <w:rPr>
          <w:rFonts w:ascii="Times New Roman" w:hAnsi="Times New Roman" w:cs="Times New Roman"/>
          <w:sz w:val="24"/>
          <w:szCs w:val="24"/>
        </w:rPr>
        <w:t>However, some of these scales are not well-studied and well-understood.</w:t>
      </w:r>
      <w:r>
        <w:rPr>
          <w:rFonts w:ascii="Times New Roman" w:hAnsi="Times New Roman" w:cs="Times New Roman"/>
          <w:sz w:val="24"/>
          <w:szCs w:val="24"/>
        </w:rPr>
        <w:t xml:space="preserve"> Take Horn scales as an example, one such problem is how to define the notion of </w:t>
      </w:r>
      <w:r w:rsidRPr="00FB11C6">
        <w:rPr>
          <w:rFonts w:ascii="Times New Roman" w:hAnsi="Times New Roman" w:cs="Times New Roman"/>
          <w:b/>
          <w:sz w:val="24"/>
          <w:szCs w:val="24"/>
        </w:rPr>
        <w:t>informativity</w:t>
      </w:r>
      <w:r>
        <w:rPr>
          <w:rFonts w:ascii="Times New Roman" w:hAnsi="Times New Roman" w:cs="Times New Roman"/>
          <w:sz w:val="24"/>
          <w:szCs w:val="24"/>
        </w:rPr>
        <w:t xml:space="preserve">, given that entailment is neither necessary nor sufficient. </w:t>
      </w:r>
      <w:r w:rsidR="00FB11C6">
        <w:rPr>
          <w:rFonts w:ascii="Times New Roman" w:hAnsi="Times New Roman" w:cs="Times New Roman"/>
          <w:sz w:val="24"/>
          <w:szCs w:val="24"/>
        </w:rPr>
        <w:t xml:space="preserve">Another issue, dubbed ‘the symmetry problem’ is concerned with the crucial question of how to restrict a set of alternatives. </w:t>
      </w:r>
    </w:p>
    <w:p w14:paraId="606B83C6" w14:textId="48963806" w:rsidR="00FB11C6" w:rsidRDefault="007A1099" w:rsidP="00FB12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talk, </w:t>
      </w:r>
      <w:r w:rsidRPr="007A1099">
        <w:rPr>
          <w:rFonts w:ascii="Times New Roman" w:hAnsi="Times New Roman" w:cs="Times New Roman"/>
          <w:sz w:val="24"/>
          <w:szCs w:val="24"/>
        </w:rPr>
        <w:t xml:space="preserve">I discuss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A1099">
        <w:rPr>
          <w:rFonts w:ascii="Times New Roman" w:hAnsi="Times New Roman" w:cs="Times New Roman"/>
          <w:sz w:val="24"/>
          <w:szCs w:val="24"/>
        </w:rPr>
        <w:t>five types of scale</w:t>
      </w:r>
      <w:r>
        <w:rPr>
          <w:rFonts w:ascii="Times New Roman" w:hAnsi="Times New Roman" w:cs="Times New Roman"/>
          <w:sz w:val="24"/>
          <w:szCs w:val="24"/>
        </w:rPr>
        <w:t xml:space="preserve"> above</w:t>
      </w:r>
      <w:r w:rsidRPr="007A1099">
        <w:rPr>
          <w:rFonts w:ascii="Times New Roman" w:hAnsi="Times New Roman" w:cs="Times New Roman"/>
          <w:sz w:val="24"/>
          <w:szCs w:val="24"/>
        </w:rPr>
        <w:t>, focusing on Horn scales.</w:t>
      </w:r>
      <w:r w:rsidR="00FB11C6">
        <w:rPr>
          <w:rFonts w:ascii="Times New Roman" w:hAnsi="Times New Roman" w:cs="Times New Roman"/>
          <w:sz w:val="24"/>
          <w:szCs w:val="24"/>
        </w:rPr>
        <w:t xml:space="preserve"> I </w:t>
      </w:r>
      <w:r w:rsidR="00BE19D8" w:rsidRPr="007A1099">
        <w:rPr>
          <w:rFonts w:ascii="Times New Roman" w:hAnsi="Times New Roman" w:cs="Times New Roman"/>
          <w:sz w:val="24"/>
          <w:szCs w:val="24"/>
        </w:rPr>
        <w:t xml:space="preserve">provide a more systematic analysis of </w:t>
      </w:r>
      <w:r w:rsidR="00FB11C6">
        <w:rPr>
          <w:rFonts w:ascii="Times New Roman" w:hAnsi="Times New Roman" w:cs="Times New Roman"/>
          <w:sz w:val="24"/>
          <w:szCs w:val="24"/>
        </w:rPr>
        <w:t>these scales and point to the direction in which some of these problems can be dealt with.</w:t>
      </w:r>
      <w:r w:rsidR="00BE19D8" w:rsidRPr="007A1099">
        <w:rPr>
          <w:rFonts w:ascii="Times New Roman" w:hAnsi="Times New Roman" w:cs="Times New Roman"/>
          <w:sz w:val="24"/>
          <w:szCs w:val="24"/>
        </w:rPr>
        <w:t xml:space="preserve"> </w:t>
      </w:r>
      <w:r w:rsidR="005040B5">
        <w:rPr>
          <w:rFonts w:ascii="Times New Roman" w:hAnsi="Times New Roman" w:cs="Times New Roman"/>
          <w:sz w:val="24"/>
          <w:szCs w:val="24"/>
        </w:rPr>
        <w:t xml:space="preserve">Time permitting, I also talk about scalar implicatures.  </w:t>
      </w:r>
    </w:p>
    <w:p w14:paraId="35EEFF1D" w14:textId="77777777" w:rsidR="005040B5" w:rsidRDefault="005040B5" w:rsidP="00FB12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AB3F3D" w14:textId="77777777" w:rsidR="00FB11C6" w:rsidRPr="00FB12F1" w:rsidRDefault="00FB11C6" w:rsidP="00AD7E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F1">
        <w:rPr>
          <w:rFonts w:ascii="Times New Roman" w:hAnsi="Times New Roman" w:cs="Times New Roman"/>
          <w:b/>
          <w:sz w:val="24"/>
          <w:szCs w:val="24"/>
        </w:rPr>
        <w:t>Main references</w:t>
      </w:r>
    </w:p>
    <w:p w14:paraId="1FA5C7C0" w14:textId="77777777" w:rsidR="009A54CC" w:rsidRDefault="009A54CC" w:rsidP="00AD7EB7">
      <w:pPr>
        <w:widowControl w:val="0"/>
        <w:tabs>
          <w:tab w:val="left" w:pos="2592"/>
        </w:tabs>
        <w:spacing w:line="360" w:lineRule="auto"/>
        <w:ind w:left="540" w:right="-72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Hirschberg, Julia (1985). A Theory of Scalar Implicature. PhD dissertation. University of Pennsylvania. </w:t>
      </w:r>
    </w:p>
    <w:p w14:paraId="35ECDA41" w14:textId="77777777" w:rsidR="00861B55" w:rsidRDefault="00861B55" w:rsidP="00AD7EB7">
      <w:pPr>
        <w:spacing w:line="360" w:lineRule="auto"/>
        <w:ind w:left="567" w:right="-7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Horn, Laurence R. (2010). From if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conditional perfection as pragmatic strengthening. </w:t>
      </w:r>
      <w:r>
        <w:rPr>
          <w:rFonts w:ascii="Times New Roman" w:hAnsi="Times New Roman" w:cs="Times New Roman"/>
          <w:i/>
          <w:sz w:val="24"/>
          <w:szCs w:val="24"/>
        </w:rPr>
        <w:t>Journal of Pragmatics</w:t>
      </w:r>
      <w:r>
        <w:rPr>
          <w:rFonts w:ascii="Times New Roman" w:hAnsi="Times New Roman" w:cs="Times New Roman"/>
          <w:sz w:val="24"/>
          <w:szCs w:val="24"/>
        </w:rPr>
        <w:t xml:space="preserve"> 32: 289-326. </w:t>
      </w:r>
    </w:p>
    <w:p w14:paraId="5A7DD0B8" w14:textId="77777777" w:rsidR="00343E89" w:rsidRDefault="00343E89" w:rsidP="00AD7EB7">
      <w:pPr>
        <w:widowControl w:val="0"/>
        <w:tabs>
          <w:tab w:val="left" w:pos="500"/>
        </w:tabs>
        <w:spacing w:line="360" w:lineRule="auto"/>
        <w:ind w:left="567" w:right="-5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Huang, Yan (</w:t>
      </w:r>
      <w:r w:rsidR="00FB12F1">
        <w:rPr>
          <w:rFonts w:ascii="Times New Roman" w:hAnsi="Times New Roman" w:cs="Times New Roman"/>
          <w:sz w:val="24"/>
          <w:szCs w:val="24"/>
        </w:rPr>
        <w:t>2007/</w:t>
      </w:r>
      <w:r>
        <w:rPr>
          <w:rFonts w:ascii="Times New Roman" w:hAnsi="Times New Roman" w:cs="Times New Roman"/>
          <w:sz w:val="24"/>
          <w:szCs w:val="24"/>
        </w:rPr>
        <w:t xml:space="preserve">2014). </w:t>
      </w:r>
      <w:r w:rsidRPr="00FB12F1">
        <w:rPr>
          <w:rFonts w:ascii="Times New Roman" w:hAnsi="Times New Roman" w:cs="Times New Roman"/>
          <w:i/>
          <w:sz w:val="24"/>
          <w:szCs w:val="24"/>
        </w:rPr>
        <w:t>Pragmatics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B12F1">
        <w:rPr>
          <w:rFonts w:ascii="Times New Roman" w:hAnsi="Times New Roman" w:cs="Times New Roman"/>
          <w:sz w:val="24"/>
          <w:szCs w:val="24"/>
        </w:rPr>
        <w:t>1</w:t>
      </w:r>
      <w:r w:rsidR="00FB12F1" w:rsidRPr="00FB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12F1">
        <w:rPr>
          <w:rFonts w:ascii="Times New Roman" w:hAnsi="Times New Roman" w:cs="Times New Roman"/>
          <w:sz w:val="24"/>
          <w:szCs w:val="24"/>
        </w:rPr>
        <w:t xml:space="preserve"> ed. 2007,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="00FB12F1">
        <w:rPr>
          <w:rFonts w:ascii="Times New Roman" w:hAnsi="Times New Roman" w:cs="Times New Roman"/>
          <w:sz w:val="24"/>
          <w:szCs w:val="24"/>
        </w:rPr>
        <w:t>. 2014</w:t>
      </w:r>
      <w:r>
        <w:rPr>
          <w:rFonts w:ascii="Times New Roman" w:hAnsi="Times New Roman" w:cs="Times New Roman"/>
          <w:sz w:val="24"/>
          <w:szCs w:val="24"/>
        </w:rPr>
        <w:t>). Oxford: O</w:t>
      </w:r>
      <w:r w:rsidR="00FB12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27BD0C45" w14:textId="77777777" w:rsidR="00343E89" w:rsidRDefault="00304D6D" w:rsidP="00AD7EB7">
      <w:pPr>
        <w:widowControl w:val="0"/>
        <w:tabs>
          <w:tab w:val="left" w:pos="500"/>
        </w:tabs>
        <w:spacing w:line="360" w:lineRule="auto"/>
        <w:ind w:left="567" w:right="-5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Huang, Yan (2017). (ed.). </w:t>
      </w:r>
      <w:r>
        <w:rPr>
          <w:rFonts w:ascii="Times New Roman" w:hAnsi="Times New Roman" w:cs="Times New Roman"/>
          <w:i/>
          <w:sz w:val="24"/>
          <w:szCs w:val="24"/>
        </w:rPr>
        <w:t>The Oxford Handbook of Pragmatics</w:t>
      </w:r>
      <w:r>
        <w:rPr>
          <w:rFonts w:ascii="Times New Roman" w:hAnsi="Times New Roman" w:cs="Times New Roman"/>
          <w:sz w:val="24"/>
          <w:szCs w:val="24"/>
        </w:rPr>
        <w:t>. Oxford: O</w:t>
      </w:r>
      <w:r w:rsidR="00FB12F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P.</w:t>
      </w:r>
    </w:p>
    <w:p w14:paraId="1A8C7C59" w14:textId="77777777" w:rsidR="00FB11C6" w:rsidRDefault="00FB11C6" w:rsidP="00AD7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Huang, Yan (in preparation). </w:t>
      </w:r>
      <w:r w:rsidRPr="00FB12F1">
        <w:rPr>
          <w:rFonts w:ascii="Times New Roman" w:hAnsi="Times New Roman" w:cs="Times New Roman"/>
          <w:i/>
          <w:sz w:val="24"/>
          <w:szCs w:val="24"/>
        </w:rPr>
        <w:t>Conversational Implicature</w:t>
      </w:r>
      <w:r>
        <w:rPr>
          <w:rFonts w:ascii="Times New Roman" w:hAnsi="Times New Roman" w:cs="Times New Roman"/>
          <w:sz w:val="24"/>
          <w:szCs w:val="24"/>
        </w:rPr>
        <w:t>. Oxford: OUP.</w:t>
      </w:r>
    </w:p>
    <w:p w14:paraId="1A8B2E89" w14:textId="77777777" w:rsidR="00B614B7" w:rsidRDefault="00B614B7" w:rsidP="00AD7EB7">
      <w:pPr>
        <w:widowControl w:val="0"/>
        <w:tabs>
          <w:tab w:val="left" w:pos="500"/>
        </w:tabs>
        <w:spacing w:line="360" w:lineRule="auto"/>
        <w:ind w:left="567" w:right="-5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(2007). Structurally-defined alternatives. </w:t>
      </w:r>
      <w:r>
        <w:rPr>
          <w:rFonts w:ascii="Times New Roman" w:hAnsi="Times New Roman" w:cs="Times New Roman"/>
          <w:i/>
          <w:sz w:val="24"/>
          <w:szCs w:val="24"/>
        </w:rPr>
        <w:t>Linguistics and Philosophy</w:t>
      </w:r>
      <w:r>
        <w:rPr>
          <w:rFonts w:ascii="Times New Roman" w:hAnsi="Times New Roman" w:cs="Times New Roman"/>
          <w:sz w:val="24"/>
          <w:szCs w:val="24"/>
        </w:rPr>
        <w:t xml:space="preserve"> 30:669-690.</w:t>
      </w:r>
    </w:p>
    <w:p w14:paraId="68850D31" w14:textId="77777777" w:rsidR="00DD6BD9" w:rsidRDefault="00DD6BD9" w:rsidP="00AD7EB7">
      <w:pPr>
        <w:widowControl w:val="0"/>
        <w:spacing w:line="360" w:lineRule="auto"/>
        <w:ind w:left="540" w:right="-72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Levinson, Stephen C. (2000). </w:t>
      </w:r>
      <w:r>
        <w:rPr>
          <w:rFonts w:ascii="Times New Roman" w:hAnsi="Times New Roman" w:cs="Times New Roman"/>
          <w:i/>
          <w:sz w:val="24"/>
          <w:szCs w:val="24"/>
        </w:rPr>
        <w:t>Presumptive Meanings: The Theory of Generalized</w:t>
      </w:r>
    </w:p>
    <w:p w14:paraId="5357FF52" w14:textId="77777777" w:rsidR="00DD6BD9" w:rsidRDefault="00DD6BD9" w:rsidP="00AD7EB7">
      <w:pPr>
        <w:widowControl w:val="0"/>
        <w:spacing w:line="360" w:lineRule="auto"/>
        <w:ind w:left="540"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Conversational Implicature</w:t>
      </w:r>
      <w:r>
        <w:rPr>
          <w:rFonts w:ascii="Times New Roman" w:hAnsi="Times New Roman" w:cs="Times New Roman"/>
          <w:sz w:val="24"/>
          <w:szCs w:val="24"/>
        </w:rPr>
        <w:t>. Cambridge, MA: The MIT Press.</w:t>
      </w:r>
    </w:p>
    <w:p w14:paraId="71EAC38E" w14:textId="77777777" w:rsidR="00DD6BD9" w:rsidRDefault="00DD6BD9" w:rsidP="00AD7EB7">
      <w:pPr>
        <w:widowControl w:val="0"/>
        <w:spacing w:line="360" w:lineRule="auto"/>
        <w:ind w:left="540" w:right="-72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Matsumoto,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(1995). The conversational conditions on Horn scales. </w:t>
      </w:r>
      <w:r>
        <w:rPr>
          <w:rFonts w:ascii="Times New Roman" w:hAnsi="Times New Roman" w:cs="Times New Roman"/>
          <w:i/>
          <w:sz w:val="24"/>
          <w:szCs w:val="24"/>
        </w:rPr>
        <w:t xml:space="preserve">Linguistics and Philosophy </w:t>
      </w:r>
      <w:r>
        <w:rPr>
          <w:rFonts w:ascii="Times New Roman" w:hAnsi="Times New Roman" w:cs="Times New Roman"/>
          <w:sz w:val="24"/>
          <w:szCs w:val="24"/>
        </w:rPr>
        <w:t>18:21-60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65D0576" w14:textId="77777777" w:rsidR="00DD6BD9" w:rsidRDefault="00DD6BD9" w:rsidP="00AD7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68D7" w14:textId="77777777" w:rsidR="00FB11C6" w:rsidRPr="007A1099" w:rsidRDefault="00FB11C6" w:rsidP="00AD7E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EC4E" w14:textId="77777777" w:rsidR="00FB11C6" w:rsidRDefault="00FB11C6" w:rsidP="00FB11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2AE7" w14:textId="77777777" w:rsidR="00951E93" w:rsidRPr="007A1099" w:rsidRDefault="00951E93" w:rsidP="002F14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51E93" w:rsidRPr="007A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B5"/>
    <w:rsid w:val="00076C53"/>
    <w:rsid w:val="000E4142"/>
    <w:rsid w:val="002F14F4"/>
    <w:rsid w:val="00304D6D"/>
    <w:rsid w:val="00343E89"/>
    <w:rsid w:val="005040B5"/>
    <w:rsid w:val="00606366"/>
    <w:rsid w:val="006A34B5"/>
    <w:rsid w:val="006F047E"/>
    <w:rsid w:val="007A1099"/>
    <w:rsid w:val="00861B55"/>
    <w:rsid w:val="00890FD0"/>
    <w:rsid w:val="008F5FBB"/>
    <w:rsid w:val="00925A6F"/>
    <w:rsid w:val="00951E93"/>
    <w:rsid w:val="009A54CC"/>
    <w:rsid w:val="00AD7EB7"/>
    <w:rsid w:val="00B614B7"/>
    <w:rsid w:val="00BE19D8"/>
    <w:rsid w:val="00DD6BD9"/>
    <w:rsid w:val="00FB11C6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4F01"/>
  <w15:chartTrackingRefBased/>
  <w15:docId w15:val="{5F1A26C0-5AB6-45EE-BC2F-83D2ADDE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Huang</dc:creator>
  <cp:keywords/>
  <dc:description/>
  <cp:lastModifiedBy>Maria Jodłowiec</cp:lastModifiedBy>
  <cp:revision>2</cp:revision>
  <dcterms:created xsi:type="dcterms:W3CDTF">2020-02-17T07:05:00Z</dcterms:created>
  <dcterms:modified xsi:type="dcterms:W3CDTF">2020-02-17T07:05:00Z</dcterms:modified>
</cp:coreProperties>
</file>